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0" w:rsidRDefault="005A1E77">
      <w:pPr>
        <w:spacing w:line="500" w:lineRule="exact"/>
        <w:jc w:val="center"/>
        <w:rPr>
          <w:rFonts w:cs="仿宋"/>
          <w:b/>
          <w:sz w:val="36"/>
          <w:szCs w:val="36"/>
          <w:lang w:eastAsia="zh-CN"/>
        </w:rPr>
      </w:pPr>
      <w:r>
        <w:rPr>
          <w:rFonts w:cs="仿宋"/>
          <w:b/>
          <w:sz w:val="36"/>
          <w:szCs w:val="36"/>
          <w:lang w:eastAsia="zh-CN"/>
        </w:rPr>
        <w:t>河北省眼科医院</w:t>
      </w:r>
    </w:p>
    <w:p w:rsidR="008B6300" w:rsidRDefault="005A1E77">
      <w:pPr>
        <w:spacing w:line="500" w:lineRule="exact"/>
        <w:jc w:val="center"/>
        <w:rPr>
          <w:rFonts w:cs="仿宋"/>
          <w:b/>
          <w:sz w:val="36"/>
          <w:szCs w:val="36"/>
          <w:lang w:eastAsia="zh-CN"/>
        </w:rPr>
      </w:pPr>
      <w:r>
        <w:rPr>
          <w:rFonts w:cs="仿宋" w:hint="eastAsia"/>
          <w:b/>
          <w:sz w:val="36"/>
          <w:szCs w:val="36"/>
          <w:lang w:eastAsia="zh-CN"/>
        </w:rPr>
        <w:t>污水处理站外包托管</w:t>
      </w:r>
      <w:r>
        <w:rPr>
          <w:rFonts w:cs="仿宋" w:hint="eastAsia"/>
          <w:b/>
          <w:sz w:val="36"/>
          <w:szCs w:val="36"/>
          <w:lang w:eastAsia="zh-CN"/>
        </w:rPr>
        <w:t>运维项目</w:t>
      </w:r>
    </w:p>
    <w:p w:rsidR="008B6300" w:rsidRDefault="005A1E77">
      <w:pPr>
        <w:spacing w:line="500" w:lineRule="exact"/>
        <w:jc w:val="center"/>
        <w:rPr>
          <w:rFonts w:cs="仿宋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cs="仿宋" w:hint="eastAsia"/>
          <w:b/>
          <w:sz w:val="36"/>
          <w:szCs w:val="36"/>
          <w:lang w:eastAsia="zh-CN"/>
        </w:rPr>
        <w:t>招标技术要求和范围</w:t>
      </w:r>
    </w:p>
    <w:p w:rsidR="008B6300" w:rsidRDefault="008B6300">
      <w:pPr>
        <w:spacing w:line="360" w:lineRule="auto"/>
        <w:outlineLvl w:val="1"/>
        <w:rPr>
          <w:b/>
          <w:sz w:val="24"/>
          <w:lang w:eastAsia="zh-CN"/>
        </w:rPr>
      </w:pPr>
    </w:p>
    <w:p w:rsidR="008B6300" w:rsidRDefault="005A1E77">
      <w:pPr>
        <w:spacing w:line="360" w:lineRule="auto"/>
        <w:outlineLvl w:val="1"/>
        <w:rPr>
          <w:rFonts w:ascii="仿宋" w:eastAsia="仿宋" w:hAnsi="仿宋" w:cs="仿宋"/>
          <w:b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sz w:val="30"/>
          <w:szCs w:val="30"/>
          <w:lang w:eastAsia="zh-CN"/>
        </w:rPr>
        <w:t>项目简介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河北省眼科医院位于邢台市襄都区泉北东大街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399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号。是一家医疗卫生事业单位，从事以眼科为重点，以耳鼻咽喉头颈外科和口腔科为特色，集医、教、研和急救、预防、保健于一体的公立三级甲等眼专科医院。医院现有全地下密封式污水处理站一座设计日处理能力：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500m</w:t>
      </w:r>
      <w:r>
        <w:rPr>
          <w:rFonts w:ascii="Calibri" w:eastAsia="仿宋" w:hAnsi="Calibri" w:cs="Calibri"/>
          <w:sz w:val="24"/>
          <w:szCs w:val="24"/>
          <w:lang w:eastAsia="zh-CN"/>
        </w:rPr>
        <w:t>³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天，实际处理水量为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Qd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≈</w:t>
      </w:r>
      <w:r>
        <w:rPr>
          <w:rFonts w:ascii="仿宋" w:eastAsia="仿宋" w:hAnsi="仿宋" w:cs="仿宋"/>
          <w:sz w:val="24"/>
          <w:szCs w:val="24"/>
          <w:lang w:eastAsia="zh-CN"/>
        </w:rPr>
        <w:t>27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0m3/d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污染物处理工艺流程：医院污水—化粪池—格栅井—调节池—缺氧池—接触氧化池—斜管沉淀池—接触消毒池—排放到市政管网。</w:t>
      </w: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b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sz w:val="30"/>
          <w:szCs w:val="30"/>
          <w:lang w:eastAsia="zh-CN"/>
        </w:rPr>
        <w:t>一、托管运行管理目标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、符合国家现行的法律法规和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《医疗机构污染物排放标准（</w:t>
      </w:r>
      <w:r>
        <w:rPr>
          <w:rFonts w:ascii="仿宋" w:eastAsia="仿宋" w:hAnsi="仿宋" w:cs="仿宋"/>
          <w:sz w:val="24"/>
          <w:szCs w:val="24"/>
          <w:lang w:eastAsia="zh-CN"/>
        </w:rPr>
        <w:t>GB18466-2005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）》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《中华人民共和国环境保护法》（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201</w:t>
      </w:r>
      <w:r>
        <w:rPr>
          <w:rFonts w:ascii="仿宋" w:eastAsia="仿宋" w:hAnsi="仿宋" w:cs="仿宋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年）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《中华人民共和国水污染防治法》（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20</w:t>
      </w:r>
      <w:r>
        <w:rPr>
          <w:rFonts w:ascii="仿宋" w:eastAsia="仿宋" w:hAnsi="仿宋" w:cs="仿宋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8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年）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</w:t>
      </w:r>
      <w:r>
        <w:rPr>
          <w:rFonts w:ascii="仿宋" w:eastAsia="仿宋" w:hAnsi="仿宋" w:cs="仿宋"/>
          <w:sz w:val="24"/>
          <w:szCs w:val="24"/>
          <w:lang w:eastAsia="zh-CN"/>
        </w:rPr>
        <w:t>18466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-200</w:t>
      </w:r>
      <w:r>
        <w:rPr>
          <w:rFonts w:ascii="仿宋" w:eastAsia="仿宋" w:hAnsi="仿宋" w:cs="仿宋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《医疗机构水污染物排放标准》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GB50069-2002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《给水排水工程构筑物结构设计规范》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GB50007-2002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《建筑地基基础设计规范》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GB50011-2010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《建筑抗震设计规范》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GB50014-2006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《室外排水设计规范》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GB50052-2009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《供配电系统设计规范》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GB50054-2011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《低压配电设计规范》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JB/T2932-1999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《水处理设备技术条件》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GB/T13992.1-92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《水处理设备性能试验总则》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GB/T13384-2008 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《机电产品包装通用技术条件》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lastRenderedPageBreak/>
        <w:t xml:space="preserve">GB/T 5656-2008 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《离心泵技术条件》（Ⅱ类）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JB/T 8097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－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1999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《泵的振动测量与评价方法》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HG/T 20511-2000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《信号报警、安全联锁系统设计规定》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HG/T 20592~20635-2009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《钢制管法兰、垫片、紧固件》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GB50231-2009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《机械设备安装工程施工及验收通用规范》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隐蔽工程：按隐蔽工程所规定的项目进行；</w:t>
      </w: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等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操作、施工、预处理标准、确保在线</w:t>
      </w:r>
      <w:r>
        <w:rPr>
          <w:rFonts w:ascii="仿宋" w:eastAsia="仿宋" w:hAnsi="仿宋" w:cs="仿宋"/>
          <w:sz w:val="24"/>
          <w:szCs w:val="24"/>
          <w:lang w:eastAsia="zh-CN"/>
        </w:rPr>
        <w:t>COD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、氨氮等各项检测数据（见下表）准确合格；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、符合综合医院评审标准实施细则及《医疗废物管理条例》相关要求；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、实现污水处理站常驻人员</w:t>
      </w:r>
      <w:r>
        <w:rPr>
          <w:rFonts w:ascii="仿宋" w:eastAsia="仿宋" w:hAnsi="仿宋" w:cs="仿宋"/>
          <w:sz w:val="24"/>
          <w:szCs w:val="24"/>
          <w:lang w:eastAsia="zh-CN"/>
        </w:rPr>
        <w:t>24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小时值守管理运行，确保污水处理站安全稳定运行；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、实现污水处理站整体规范化、制度化、标准化运行管理；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、实现污水设备日常维护保养和技术维修服务及时快捷，保证设备高效运转；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：提供全年水污染处理在线监测设备运营服务（包括人工、设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备维修、耗材更换、试剂等），服务标准不能低甲方现有合作商标准，应与乙方其他合作服务项目标准一致。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3.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提供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 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×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24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小时响应服务，所供产品若出现质量问题，应及时派人员修理，若修理人员无法在环保部门要求的时限内完成维修，乙方应提供备机（备机的性能不低于原设备）。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、符合环保部门的督导检测检查要求；</w:t>
      </w:r>
    </w:p>
    <w:p w:rsidR="008B6300" w:rsidRDefault="005A1E77">
      <w:pPr>
        <w:spacing w:line="500" w:lineRule="exact"/>
        <w:rPr>
          <w:rFonts w:ascii="仿宋" w:eastAsia="仿宋" w:hAnsi="仿宋" w:cs="仿宋"/>
          <w:b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sz w:val="30"/>
          <w:szCs w:val="30"/>
          <w:lang w:eastAsia="zh-CN"/>
        </w:rPr>
        <w:t>二、委托范围及具体要求</w:t>
      </w:r>
    </w:p>
    <w:p w:rsidR="008B6300" w:rsidRDefault="005A1E77">
      <w:pPr>
        <w:spacing w:line="500" w:lineRule="exact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（一）委托范围。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、负责现行污水处理设备、设施的日常管理运行和加药、检查、维护保养；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、负责院区医疗污水、废水的集中处理、消毒、杀菌</w:t>
      </w:r>
      <w:r>
        <w:rPr>
          <w:rFonts w:ascii="仿宋" w:eastAsia="仿宋" w:hAnsi="仿宋" w:cs="仿宋"/>
          <w:sz w:val="24"/>
          <w:szCs w:val="24"/>
          <w:lang w:eastAsia="zh-CN"/>
        </w:rPr>
        <w:t>,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达到国家医用废水排放标准后排放；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、提供全年水污染处理在线监测设备运营服务（包括人工、设备维修、耗材更换、试剂等）；提供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 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×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24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小时响应服务，所供产品若出现质量问题，应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lastRenderedPageBreak/>
        <w:t>及时派人员修理，若修理人员无法在环保部门要求的时限内完成维修，乙方应提供备机（备机的性能不低于原设备）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、服从</w:t>
      </w:r>
      <w:r w:rsidRPr="005A1E77">
        <w:rPr>
          <w:rFonts w:ascii="仿宋" w:eastAsia="仿宋" w:hAnsi="仿宋" w:cs="仿宋" w:hint="eastAsia"/>
          <w:sz w:val="24"/>
          <w:szCs w:val="24"/>
          <w:lang w:eastAsia="zh-CN"/>
        </w:rPr>
        <w:t>政府监管部门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及医院的监督管理；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、每天专人进行污水处理及巡、点检工作，并填写污水处理情况记录表，按月报送医院存档；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、做好原料的采购、保管、使用等环节的安全；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、负责污水处理产生的危废、固废等垃圾废料按国家规定进行收集、储存工作。</w:t>
      </w:r>
    </w:p>
    <w:p w:rsidR="008B6300" w:rsidRDefault="005A1E77">
      <w:pPr>
        <w:spacing w:line="500" w:lineRule="exact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（二）具体要求。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现场安排专业有资质人员</w:t>
      </w:r>
      <w:r>
        <w:rPr>
          <w:rFonts w:ascii="仿宋" w:eastAsia="仿宋" w:hAnsi="仿宋" w:cs="仿宋"/>
          <w:sz w:val="24"/>
          <w:szCs w:val="24"/>
          <w:lang w:eastAsia="zh-CN"/>
        </w:rPr>
        <w:t>24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小时值守；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、建立规范化的值班室及各类规章制度和工艺流程，按照三级医院要求，建立生产、危固废物处理、运行档案、按日记录进出水量、水质、污泥、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UV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灯管危废产生、转存量、主要设备运行状况、药品进出量，记录完整等等；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、具有过硬的技术服务支持团队，负责污水处理技术服务、设备运行的检查，维护保养及日常加药等工作；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、医院污水处理排污符合国家规定的医院污水排放标准；符合医院环境评估报告排放要求。</w:t>
      </w:r>
    </w:p>
    <w:p w:rsidR="008B6300" w:rsidRPr="005A1E77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、维修配件</w:t>
      </w:r>
      <w:r>
        <w:rPr>
          <w:rFonts w:ascii="仿宋" w:eastAsia="仿宋" w:hAnsi="仿宋" w:cs="仿宋"/>
          <w:sz w:val="24"/>
          <w:szCs w:val="24"/>
          <w:lang w:eastAsia="zh-CN"/>
        </w:rPr>
        <w:t>10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0</w:t>
      </w:r>
      <w:r>
        <w:rPr>
          <w:rFonts w:ascii="仿宋" w:eastAsia="仿宋" w:hAnsi="仿宋" w:cs="仿宋"/>
          <w:sz w:val="24"/>
          <w:szCs w:val="24"/>
          <w:lang w:eastAsia="zh-CN"/>
        </w:rPr>
        <w:t>00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元以下由外包负责，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1</w:t>
      </w:r>
      <w:r>
        <w:rPr>
          <w:rFonts w:ascii="仿宋" w:eastAsia="仿宋" w:hAnsi="仿宋" w:cs="仿宋"/>
          <w:sz w:val="24"/>
          <w:szCs w:val="24"/>
          <w:lang w:eastAsia="zh-CN"/>
        </w:rPr>
        <w:t>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0</w:t>
      </w:r>
      <w:r>
        <w:rPr>
          <w:rFonts w:ascii="仿宋" w:eastAsia="仿宋" w:hAnsi="仿宋" w:cs="仿宋"/>
          <w:sz w:val="24"/>
          <w:szCs w:val="24"/>
          <w:lang w:eastAsia="zh-CN"/>
        </w:rPr>
        <w:t>00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元以上由医院负责；</w:t>
      </w:r>
      <w:r w:rsidRPr="005A1E77">
        <w:rPr>
          <w:rFonts w:ascii="仿宋" w:eastAsia="仿宋" w:hAnsi="仿宋" w:cs="仿宋" w:hint="eastAsia"/>
          <w:sz w:val="24"/>
          <w:szCs w:val="24"/>
          <w:lang w:eastAsia="zh-CN"/>
        </w:rPr>
        <w:t>所有维修配件的采购价要</w:t>
      </w:r>
      <w:r w:rsidRPr="005A1E77">
        <w:rPr>
          <w:rFonts w:ascii="仿宋" w:eastAsia="仿宋" w:hAnsi="仿宋" w:cs="仿宋" w:hint="eastAsia"/>
          <w:sz w:val="24"/>
          <w:szCs w:val="24"/>
          <w:lang w:eastAsia="zh-CN"/>
        </w:rPr>
        <w:t>以甲方管理部门确认为准。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、自觉接受环保部门监督检查，配合提供有关资料并介绍污水处理运行情况，符合环保检查检测标准要求。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、污水处理运行设备出现故障，迅速采取应急措施，及时恢复运行。如不能及时运行应书面报告甲方和环保部门。</w:t>
      </w:r>
    </w:p>
    <w:p w:rsidR="008B6300" w:rsidRDefault="005A1E77">
      <w:pPr>
        <w:spacing w:line="360" w:lineRule="auto"/>
        <w:ind w:firstLineChars="177" w:firstLine="42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8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、做好与管辖环保部门和其他相关管理部门的衔接沟通工作。做好密闭空间作业应急</w:t>
      </w:r>
      <w:r w:rsidR="009F47B2">
        <w:rPr>
          <w:rFonts w:ascii="仿宋" w:eastAsia="仿宋" w:hAnsi="仿宋" w:cs="仿宋" w:hint="eastAsia"/>
          <w:sz w:val="24"/>
          <w:szCs w:val="24"/>
          <w:lang w:eastAsia="zh-CN"/>
        </w:rPr>
        <w:t>预案，一切危险作业必须做好充分施工准备，在运维期间出现人员伤亡或因污水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处理超标被行政处罚等事故，一切责任由运维方承担，与医院无关。</w:t>
      </w:r>
    </w:p>
    <w:p w:rsidR="008B6300" w:rsidRDefault="005A1E77">
      <w:pPr>
        <w:spacing w:line="500" w:lineRule="exact"/>
        <w:rPr>
          <w:rFonts w:ascii="仿宋" w:eastAsia="仿宋" w:hAnsi="仿宋" w:cs="仿宋"/>
          <w:b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sz w:val="30"/>
          <w:szCs w:val="30"/>
          <w:lang w:eastAsia="zh-CN"/>
        </w:rPr>
        <w:t>三、主要技术指标和流程</w: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bookmarkStart w:id="1" w:name="_Toc352438043"/>
      <w:r>
        <w:rPr>
          <w:rFonts w:ascii="仿宋" w:eastAsia="仿宋" w:hAnsi="仿宋" w:cs="仿宋" w:hint="eastAsia"/>
          <w:sz w:val="24"/>
          <w:szCs w:val="24"/>
          <w:lang w:eastAsia="zh-CN"/>
        </w:rPr>
        <w:t>污水处理站设计进水指标按常规医疗废水，主要指标为：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3314"/>
        <w:gridCol w:w="3804"/>
      </w:tblGrid>
      <w:tr w:rsidR="008B6300">
        <w:trPr>
          <w:trHeight w:val="535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lastRenderedPageBreak/>
              <w:t>序号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排放值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化学需氧量（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COD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生化需氧量（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BOD5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350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悬浮物（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SS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氨氮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≥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45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6-9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粪大肠菌群数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MPN/L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5000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动植物油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阳离子表面活性剂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色度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64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氯化物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5000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溶解性总固体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2000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8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总氮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70</w:t>
            </w:r>
          </w:p>
        </w:tc>
      </w:tr>
    </w:tbl>
    <w:p w:rsidR="008B6300" w:rsidRDefault="008B6300">
      <w:pPr>
        <w:spacing w:line="500" w:lineRule="exact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、污水处理站出水执行《医疗机构水污染物排放标准》（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GB18466-2005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）的预处理标准，污水处理站排水水质指标见表：</w:t>
      </w: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3314"/>
        <w:gridCol w:w="3804"/>
      </w:tblGrid>
      <w:tr w:rsidR="008B6300">
        <w:trPr>
          <w:trHeight w:val="59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标准值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化学需氧量（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COD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250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生化需氧量（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BOD5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悬浮物（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SS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60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氨氮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45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6-9</w:t>
            </w:r>
          </w:p>
        </w:tc>
      </w:tr>
      <w:tr w:rsidR="008B6300">
        <w:trPr>
          <w:trHeight w:val="510"/>
          <w:jc w:val="center"/>
        </w:trPr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37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粪大肠菌群数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MPN/L</w:t>
            </w:r>
          </w:p>
        </w:tc>
        <w:tc>
          <w:tcPr>
            <w:tcW w:w="2338" w:type="pct"/>
            <w:tcBorders>
              <w:tl2br w:val="nil"/>
              <w:tr2bl w:val="nil"/>
            </w:tcBorders>
            <w:vAlign w:val="center"/>
          </w:tcPr>
          <w:p w:rsidR="008B6300" w:rsidRDefault="005A1E77">
            <w:pPr>
              <w:spacing w:line="500" w:lineRule="exact"/>
              <w:ind w:firstLine="4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5000</w:t>
            </w:r>
          </w:p>
        </w:tc>
      </w:tr>
    </w:tbl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br w:type="page"/>
      </w:r>
      <w:bookmarkStart w:id="2" w:name="_Toc109414478"/>
      <w:r>
        <w:rPr>
          <w:rFonts w:ascii="仿宋" w:eastAsia="仿宋" w:hAnsi="仿宋" w:cs="仿宋" w:hint="eastAsia"/>
          <w:sz w:val="24"/>
          <w:szCs w:val="24"/>
          <w:lang w:eastAsia="zh-CN"/>
        </w:rPr>
        <w:lastRenderedPageBreak/>
        <w:t xml:space="preserve">3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污水处理工艺</w:t>
      </w:r>
      <w:bookmarkEnd w:id="1"/>
      <w:bookmarkEnd w:id="2"/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bookmarkStart w:id="3" w:name="_Toc352438046"/>
      <w:bookmarkStart w:id="4" w:name="_Toc109414479"/>
      <w:r>
        <w:rPr>
          <w:rFonts w:ascii="仿宋" w:eastAsia="仿宋" w:hAnsi="仿宋" w:cs="仿宋" w:hint="eastAsia"/>
          <w:sz w:val="24"/>
          <w:szCs w:val="24"/>
          <w:lang w:eastAsia="zh-CN"/>
        </w:rPr>
        <w:t>3.</w:t>
      </w:r>
      <w:r>
        <w:rPr>
          <w:rFonts w:ascii="仿宋" w:eastAsia="仿宋" w:hAnsi="仿宋" w:cs="仿宋"/>
          <w:sz w:val="24"/>
          <w:szCs w:val="24"/>
          <w:lang w:eastAsia="zh-CN"/>
        </w:rPr>
        <w:t>1</w:t>
      </w:r>
      <w:r>
        <w:rPr>
          <w:rFonts w:ascii="仿宋" w:eastAsia="仿宋" w:hAnsi="仿宋" w:cs="仿宋"/>
          <w:sz w:val="24"/>
          <w:szCs w:val="24"/>
          <w:lang w:eastAsia="zh-CN"/>
        </w:rPr>
        <w:t>工艺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流程</w:t>
      </w:r>
      <w:bookmarkEnd w:id="3"/>
      <w:bookmarkEnd w:id="4"/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11" o:spid="_x0000_s1029" style="position:absolute;left:0;text-align:left;margin-left:150.6pt;margin-top:6.7pt;width:69.65pt;height:23.25pt;z-index:1;mso-width-relative:page;mso-height-relative:page" filled="f" stroked="f">
            <v:textbox>
              <w:txbxContent>
                <w:p w:rsidR="008B6300" w:rsidRDefault="005A1E77">
                  <w:pPr>
                    <w:jc w:val="center"/>
                    <w:rPr>
                      <w:b/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医院污水</w:t>
                  </w:r>
                </w:p>
                <w:p w:rsidR="008B6300" w:rsidRDefault="008B6300"/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04" o:spid="_x0000_s1037" type="#_x0000_t32" style="position:absolute;left:0;text-align:left;margin-left:186.7pt;margin-top:9.65pt;width:0;height:22.7pt;z-index:2;mso-width-relative:page;mso-height-relative:page" strokecolor="#4a7dba">
            <v:stroke endarrow="open"/>
          </v:shape>
        </w:pict>
      </w: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54" style="position:absolute;left:0;text-align:left;margin-left:137.05pt;margin-top:2.45pt;width:99.2pt;height:22.5pt;z-index:3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机械格栅</w:t>
                  </w:r>
                  <w:r>
                    <w:rPr>
                      <w:rFonts w:hint="eastAsia"/>
                      <w:sz w:val="24"/>
                      <w:szCs w:val="32"/>
                    </w:rPr>
                    <w:t>(</w:t>
                  </w:r>
                  <w:r>
                    <w:rPr>
                      <w:rFonts w:hint="eastAsia"/>
                      <w:sz w:val="24"/>
                      <w:szCs w:val="32"/>
                    </w:rPr>
                    <w:t>（</w:t>
                  </w:r>
                  <w:r>
                    <w:rPr>
                      <w:rFonts w:hint="eastAsia"/>
                      <w:sz w:val="24"/>
                      <w:szCs w:val="32"/>
                    </w:rPr>
                    <w:t xml:space="preserve">weixiu </w:t>
                  </w:r>
                  <w:r>
                    <w:rPr>
                      <w:rFonts w:hint="eastAsia"/>
                      <w:sz w:val="24"/>
                      <w:szCs w:val="32"/>
                    </w:rPr>
                    <w:t>）</w:t>
                  </w:r>
                </w:p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 id="_x0000_s1055" type="#_x0000_t32" style="position:absolute;left:0;text-align:left;margin-left:186.7pt;margin-top:10.85pt;width:0;height:22.7pt;z-index:4;mso-width-relative:page;mso-height-relative:page" strokecolor="#4a7dba">
            <v:stroke endarrow="open"/>
          </v:shape>
        </w:pict>
      </w: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24" o:spid="_x0000_s1030" style="position:absolute;left:0;text-align:left;margin-left:137.05pt;margin-top:2.55pt;width:99.2pt;height:22.5pt;z-index:5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调节池</w:t>
                  </w:r>
                </w:p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 id="直接箭头连接符 307" o:spid="_x0000_s1034" type="#_x0000_t32" style="position:absolute;left:0;text-align:left;margin-left:186.7pt;margin-top:8.9pt;width:0;height:22.45pt;z-index:6;mso-width-relative:page;mso-height-relative:page" strokecolor="#4a7dba">
            <v:stroke endarrow="open"/>
          </v:shape>
        </w:pict>
      </w: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337" o:spid="_x0000_s1026" style="position:absolute;left:0;text-align:left;margin-left:290.45pt;margin-top:6.4pt;width:25pt;height:75.7pt;z-index:7;mso-width-relative:page;mso-height-relative:page" fillcolor="#eeece1" stroked="f"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污泥回流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line id="_x0000_s1050" style="position:absolute;left:0;text-align:left;flip:x;z-index:8;mso-width-relative:page;mso-height-relative:page" from="236.35pt,12.8pt" to="259.05pt,12.8pt" strokecolor="#4a7dba">
            <v:stroke endarrow="open"/>
          </v:lin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line id="直线 52" o:spid="_x0000_s1035" style="position:absolute;left:0;text-align:left;z-index:9;mso-width-relative:page;mso-height-relative:page" from="259.3pt,12pt" to="259.3pt,54.5pt" strokecolor="#4a7dba">
            <v:stroke startarrow="open"/>
          </v:lin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53" style="position:absolute;left:0;text-align:left;margin-left:261.2pt;margin-top:6.7pt;width:25pt;height:85.7pt;z-index:10;mso-width-relative:page;mso-height-relative:page" fillcolor="#eeece1" stroked="f"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硝化液回流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line id="箭头 130" o:spid="_x0000_s1036" style="position:absolute;left:0;text-align:left;flip:x;z-index:11;mso-width-relative:page;mso-height-relative:page" from="236.95pt,3.9pt" to="287.95pt,3.9pt" strokecolor="#4a7dba">
            <v:stroke dashstyle="longDashDot" startarrowwidth="narrow" startarrowlength="short" endarrow="open"/>
          </v:lin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line id="_x0000_s1051" style="position:absolute;left:0;text-align:left;z-index:12;mso-width-relative:page;mso-height-relative:page" from="288.35pt,3.15pt" to="288.35pt,99.55pt" strokecolor="#4a7dba">
            <v:stroke dashstyle="longDashDot" startarrow="open"/>
          </v:lin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48" style="position:absolute;left:0;text-align:left;margin-left:137.25pt;margin-top:.2pt;width:99.2pt;height:22.5pt;z-index:13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缺氧</w:t>
                  </w:r>
                  <w:r>
                    <w:rPr>
                      <w:sz w:val="24"/>
                      <w:szCs w:val="32"/>
                    </w:rPr>
                    <w:t>池</w:t>
                  </w:r>
                </w:p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left:0;text-align:left;margin-left:175.4pt;margin-top:17.55pt;width:22.45pt;height:.05pt;rotation:90;flip:x;z-index:14;mso-width-relative:page;mso-height-relative:page" adj=",183794400,-257564" strokecolor="#4a7dba">
            <v:stroke endarrow="open"/>
          </v:shap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41" style="position:absolute;left:0;text-align:left;margin-left:59.6pt;margin-top:12.95pt;width:45.55pt;height:21.75pt;z-index:15;mso-width-relative:page;mso-height-relative:page" fillcolor="#eeece1" stroked="f">
            <v:textbox>
              <w:txbxContent>
                <w:p w:rsidR="008B6300" w:rsidRDefault="005A1E77">
                  <w:pPr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空气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23" o:spid="_x0000_s1027" style="position:absolute;left:0;text-align:left;margin-left:131.1pt;margin-top:13.2pt;width:113.4pt;height:22.5pt;z-index:16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接触氧化池</w:t>
                  </w:r>
                </w:p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line id="_x0000_s1040" style="position:absolute;left:0;text-align:left;flip:x;z-index:17;mso-width-relative:page;mso-height-relative:page" from="96pt,8.65pt" to="131.05pt,8.65pt" strokecolor="#4a7dba">
            <v:stroke startarrow="open"/>
          </v:lin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line id="_x0000_s1052" style="position:absolute;left:0;text-align:left;flip:x;z-index:18;mso-width-relative:page;mso-height-relative:page" from="242.85pt,8.8pt" to="259.85pt,8.8pt" strokecolor="#4a7dba">
            <v:stroke startarrow="open"/>
          </v:lin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 id="_x0000_s1039" type="#_x0000_t32" style="position:absolute;left:0;text-align:left;margin-left:186.65pt;margin-top:4.6pt;width:0;height:22.45pt;z-index:19;mso-width-relative:page;mso-height-relative:page" strokecolor="#4a7dba">
            <v:stroke endarrow="open"/>
          </v:shap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289" o:spid="_x0000_s1031" style="position:absolute;left:0;text-align:left;margin-left:299.1pt;margin-top:11.95pt;width:71.8pt;height:22.5pt;z-index:20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污泥池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38" style="position:absolute;left:0;text-align:left;margin-left:137.1pt;margin-top:12.25pt;width:99.2pt;height:22.5pt;z-index:21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二沉池</w:t>
                  </w:r>
                </w:p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line id="_x0000_s1042" style="position:absolute;left:0;text-align:left;flip:x;z-index:22;mso-width-relative:page;mso-height-relative:page" from="236.3pt,7.05pt" to="298.65pt,7.05pt" strokecolor="#4a7dba">
            <v:stroke dashstyle="longDashDot" startarrow="open"/>
          </v:lin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 id="直接箭头连接符 28" o:spid="_x0000_s1032" type="#_x0000_t32" style="position:absolute;left:0;text-align:left;margin-left:335.3pt;margin-top:4.1pt;width:.05pt;height:22.7pt;z-index:23;mso-width-relative:page;mso-height-relative:page" strokecolor="#4a7dba">
            <v:stroke endarrow="open"/>
          </v:shap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shape id="_x0000_s1044" type="#_x0000_t32" style="position:absolute;left:0;text-align:left;margin-left:186.85pt;margin-top:4.85pt;width:0;height:22.45pt;z-index:24;mso-width-relative:page;mso-height-relative:page" strokecolor="#4a7dba">
            <v:stroke endarrow="open"/>
          </v:shap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56" style="position:absolute;left:0;text-align:left;margin-left:291.6pt;margin-top:10.9pt;width:87.85pt;height:22.5pt;z-index:25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压滤机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47" style="position:absolute;left:0;text-align:left;margin-left:56.6pt;margin-top:12.2pt;width:53.85pt;height:21.75pt;z-index:26;mso-width-relative:page;mso-height-relative:page" fillcolor="#eeece1" stroked="f"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消毒剂</w:t>
                  </w:r>
                </w:p>
                <w:p w:rsidR="008B6300" w:rsidRDefault="008B6300"/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_x0000_s1043" style="position:absolute;left:0;text-align:left;margin-left:146.2pt;margin-top:11.7pt;width:82.75pt;height:22.5pt;z-index:27;mso-width-relative:page;mso-height-relative:page" fillcolor="#bbb">
            <v:fill rotate="t" colors="0 #bbb;22938f #cfcfcf;1 #ededed" type="gradient"/>
            <v:shadow on="t" type="perspective" color="black" opacity=".25" origin=",.5" offset="0,.55556mm"/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消毒池</w:t>
                  </w:r>
                </w:p>
              </w:txbxContent>
            </v:textbox>
          </v:rect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line id="_x0000_s1046" style="position:absolute;left:0;text-align:left;flip:x;z-index:28;mso-width-relative:page;mso-height-relative:page" from="110.8pt,8.1pt" to="144.8pt,8.1pt" strokecolor="#4a7dba">
            <v:stroke startarrow="open"/>
          </v:lin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shape id="_x0000_s1057" type="#_x0000_t32" style="position:absolute;left:0;text-align:left;margin-left:336.35pt;margin-top:2.85pt;width:.05pt;height:22.7pt;z-index:29;mso-width-relative:page;mso-height-relative:page" strokecolor="#4a7dba">
            <v:stroke endarrow="open"/>
          </v:shape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shape id="_x0000_s1045" type="#_x0000_t32" style="position:absolute;left:0;text-align:left;margin-left:186.9pt;margin-top:3.95pt;width:0;height:22.45pt;z-index:30;mso-width-relative:page;mso-height-relative:page" strokecolor="#4a7dba">
            <v:stroke endarrow="open"/>
          </v:shape>
        </w:pict>
      </w: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20" o:spid="_x0000_s1033" style="position:absolute;left:0;text-align:left;margin-left:303.3pt;margin-top:10.4pt;width:65.25pt;height:21.75pt;z-index:31;mso-width-relative:page;mso-height-relative:page" fillcolor="#eeece1" stroked="f">
            <v:textbox>
              <w:txbxContent>
                <w:p w:rsidR="008B6300" w:rsidRDefault="005A1E77">
                  <w:pPr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定期清运</w:t>
                  </w:r>
                </w:p>
              </w:txbxContent>
            </v:textbox>
          </v:rect>
        </w:pict>
      </w:r>
      <w:r>
        <w:rPr>
          <w:rFonts w:ascii="仿宋" w:eastAsia="仿宋" w:hAnsi="仿宋" w:cs="仿宋"/>
          <w:sz w:val="24"/>
          <w:szCs w:val="24"/>
          <w:lang w:eastAsia="zh-CN"/>
        </w:rPr>
        <w:pict>
          <v:rect id="矩形 5" o:spid="_x0000_s1028" style="position:absolute;left:0;text-align:left;margin-left:153.4pt;margin-top:12.2pt;width:67.5pt;height:22.5pt;z-index:32;mso-width-relative:page;mso-height-relative:page" fillcolor="#eeece1" stroked="f">
            <v:textbox>
              <w:txbxContent>
                <w:p w:rsidR="008B6300" w:rsidRDefault="005A1E77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达标外排</w:t>
                  </w:r>
                </w:p>
              </w:txbxContent>
            </v:textbox>
          </v:rect>
        </w:pict>
      </w: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5A1E77">
      <w:pPr>
        <w:spacing w:line="500" w:lineRule="exact"/>
        <w:ind w:firstLine="420"/>
        <w:rPr>
          <w:rFonts w:ascii="仿宋" w:eastAsia="仿宋" w:hAnsi="仿宋" w:cs="仿宋"/>
          <w:b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sz w:val="30"/>
          <w:szCs w:val="30"/>
          <w:lang w:eastAsia="zh-CN"/>
        </w:rPr>
        <w:lastRenderedPageBreak/>
        <w:t>四、污水处理在线监测系统外包范围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4"/>
        <w:gridCol w:w="3010"/>
        <w:gridCol w:w="1814"/>
        <w:gridCol w:w="2451"/>
      </w:tblGrid>
      <w:tr w:rsidR="008B6300">
        <w:trPr>
          <w:trHeight w:val="639"/>
        </w:trPr>
        <w:tc>
          <w:tcPr>
            <w:tcW w:w="567" w:type="dxa"/>
            <w:shd w:val="clear" w:color="auto" w:fill="auto"/>
            <w:vAlign w:val="center"/>
          </w:tcPr>
          <w:p w:rsidR="008B6300" w:rsidRDefault="005A1E77">
            <w:pPr>
              <w:jc w:val="both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8B6300" w:rsidRDefault="005A1E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采购内容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B6300" w:rsidRDefault="005A1E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B6300" w:rsidRDefault="005A1E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技术要求</w:t>
            </w:r>
          </w:p>
        </w:tc>
      </w:tr>
      <w:tr w:rsidR="008B6300">
        <w:trPr>
          <w:trHeight w:val="639"/>
        </w:trPr>
        <w:tc>
          <w:tcPr>
            <w:tcW w:w="567" w:type="dxa"/>
            <w:vMerge w:val="restart"/>
            <w:shd w:val="clear" w:color="auto" w:fill="auto"/>
          </w:tcPr>
          <w:p w:rsidR="008B6300" w:rsidRDefault="005A1E77">
            <w:pPr>
              <w:jc w:val="both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360" w:lineRule="auto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动态管控数据采集仪（门禁）系统</w:t>
            </w:r>
          </w:p>
          <w:p w:rsidR="008B6300" w:rsidRDefault="005A1E77">
            <w:pPr>
              <w:pStyle w:val="ac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  <w:szCs w:val="24"/>
              </w:rPr>
              <w:t>套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环保数采仪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万维盈创</w:t>
            </w:r>
          </w:p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W5100HB-III/DS-K1T641M</w:t>
            </w:r>
          </w:p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DS-2CD2646FWDV2-IZS/WW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8B6300" w:rsidRDefault="005A1E77">
            <w:pPr>
              <w:widowControl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在监测站房安装门禁系统、站房和排放口安装视频监控系统，并与生态环境部门联网。</w:t>
            </w:r>
          </w:p>
          <w:p w:rsidR="008B6300" w:rsidRDefault="005A1E77">
            <w:pPr>
              <w:widowControl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门禁视频参数监控联网要求参照《河北省污染源自动监控现场端门禁监控、视频监控、参数监控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</w:p>
          <w:p w:rsidR="008B6300" w:rsidRDefault="005A1E77">
            <w:pPr>
              <w:widowControl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有关技术规范（试行）》执行，联网率等保持在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90%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以上。</w:t>
            </w:r>
          </w:p>
          <w:p w:rsidR="008B6300" w:rsidRDefault="008B6300">
            <w:pPr>
              <w:pStyle w:val="ac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  <w:lang w:eastAsia="zh-CN"/>
              </w:rPr>
            </w:pPr>
          </w:p>
        </w:tc>
      </w:tr>
      <w:tr w:rsidR="008B6300">
        <w:trPr>
          <w:trHeight w:val="641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视频采集传输仪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网络摄像机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摄像机支架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电源适配器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身份信息识别模块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门禁防雨盒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磁力锁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磁力锁支架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电源</w:t>
            </w:r>
          </w:p>
        </w:tc>
        <w:tc>
          <w:tcPr>
            <w:tcW w:w="1814" w:type="dxa"/>
            <w:vMerge/>
            <w:shd w:val="clear" w:color="auto" w:fill="auto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门禁与报警模块</w:t>
            </w:r>
          </w:p>
        </w:tc>
        <w:tc>
          <w:tcPr>
            <w:tcW w:w="1814" w:type="dxa"/>
            <w:vMerge/>
            <w:shd w:val="clear" w:color="auto" w:fill="auto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电源线材、插座</w:t>
            </w:r>
          </w:p>
        </w:tc>
        <w:tc>
          <w:tcPr>
            <w:tcW w:w="1814" w:type="dxa"/>
            <w:vMerge/>
            <w:shd w:val="clear" w:color="auto" w:fill="auto"/>
          </w:tcPr>
          <w:p w:rsidR="008B6300" w:rsidRDefault="008B6300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 w:val="restart"/>
            <w:shd w:val="clear" w:color="auto" w:fill="auto"/>
          </w:tcPr>
          <w:p w:rsidR="008B6300" w:rsidRDefault="005A1E77">
            <w:pPr>
              <w:jc w:val="both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水质在线设备</w:t>
            </w:r>
          </w:p>
          <w:p w:rsidR="008B6300" w:rsidRDefault="005A1E77">
            <w:pPr>
              <w:pStyle w:val="ac"/>
              <w:ind w:firstLineChars="200" w:firstLine="49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  <w:szCs w:val="24"/>
              </w:rPr>
              <w:t>套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  <w:lang w:eastAsia="zh-CN"/>
              </w:rPr>
              <w:t>COD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  <w:lang w:eastAsia="zh-CN"/>
              </w:rPr>
              <w:t>水质在线分析仪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CODet-5000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型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 xml:space="preserve"> 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8B6300" w:rsidRDefault="005A1E77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必须达到《水污染源在线监测系统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CODCr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NH3-N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等）验收技术规范》要求，提供有效的检测报告。</w:t>
            </w: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氨氮水质在线分析仪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WDet-5000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型</w:t>
            </w: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B6300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智能恒温水样采样器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万维盈创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Smart</w:t>
            </w:r>
          </w:p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WQS2000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型</w:t>
            </w: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8B6300" w:rsidRDefault="008B63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B6300">
        <w:trPr>
          <w:trHeight w:val="850"/>
        </w:trPr>
        <w:tc>
          <w:tcPr>
            <w:tcW w:w="567" w:type="dxa"/>
            <w:vMerge w:val="restart"/>
            <w:shd w:val="clear" w:color="auto" w:fill="auto"/>
          </w:tcPr>
          <w:p w:rsidR="008B6300" w:rsidRDefault="005A1E77">
            <w:pPr>
              <w:jc w:val="both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8B6300" w:rsidRDefault="005A1E77">
            <w:pPr>
              <w:adjustRightInd w:val="0"/>
              <w:snapToGrid w:val="0"/>
              <w:spacing w:beforeLines="100" w:before="312" w:line="1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不间断电源</w:t>
            </w:r>
          </w:p>
          <w:p w:rsidR="008B6300" w:rsidRDefault="005A1E77">
            <w:pPr>
              <w:pStyle w:val="ac"/>
              <w:ind w:firstLineChars="200" w:firstLine="49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pacing w:val="4"/>
                <w:sz w:val="24"/>
                <w:szCs w:val="24"/>
              </w:rPr>
              <w:t>套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UPS</w:t>
            </w:r>
            <w:r>
              <w:rPr>
                <w:rFonts w:ascii="仿宋" w:eastAsia="仿宋" w:hAnsi="仿宋" w:cs="仿宋" w:hint="eastAsia"/>
                <w:sz w:val="24"/>
              </w:rPr>
              <w:t>主机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8B6300" w:rsidRDefault="005A1E77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北科</w:t>
            </w:r>
            <w:r>
              <w:rPr>
                <w:rFonts w:ascii="仿宋" w:eastAsia="仿宋" w:hAnsi="仿宋" w:cs="仿宋" w:hint="eastAsia"/>
                <w:sz w:val="24"/>
              </w:rPr>
              <w:t>BK-D6KS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8B6300" w:rsidRDefault="005A1E77">
            <w:pPr>
              <w:widowControl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满足动态管控数据采集仪（门禁）系统和水质在线设备等相关设备的正常运行，为能达到《河北省污染源自动监控现场端门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lastRenderedPageBreak/>
              <w:t>禁监控、视频监控、参数监控有关技术规范（试行）》和《水污染源在线监测系统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CODCr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NH3-N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等）验收技术规范》要求提供保障。</w:t>
            </w:r>
          </w:p>
          <w:p w:rsidR="008B6300" w:rsidRDefault="005A1E77">
            <w:pPr>
              <w:widowControl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提供有效的检测报告。</w:t>
            </w:r>
          </w:p>
        </w:tc>
      </w:tr>
      <w:tr w:rsidR="008B6300">
        <w:trPr>
          <w:trHeight w:val="1056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color w:val="FF0000"/>
                <w:sz w:val="24"/>
                <w:lang w:eastAsia="zh-CN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color w:val="FF0000"/>
                <w:sz w:val="24"/>
                <w:lang w:eastAsia="zh-CN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widowControl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电池</w:t>
            </w:r>
          </w:p>
        </w:tc>
        <w:tc>
          <w:tcPr>
            <w:tcW w:w="1814" w:type="dxa"/>
            <w:vMerge/>
            <w:shd w:val="clear" w:color="auto" w:fill="auto"/>
          </w:tcPr>
          <w:p w:rsidR="008B6300" w:rsidRDefault="008B6300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8B6300" w:rsidRDefault="008B6300">
            <w:pPr>
              <w:widowControl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8B6300">
        <w:trPr>
          <w:trHeight w:val="919"/>
        </w:trPr>
        <w:tc>
          <w:tcPr>
            <w:tcW w:w="567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B6300" w:rsidRDefault="008B6300">
            <w:pPr>
              <w:jc w:val="both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8B6300" w:rsidRDefault="005A1E77">
            <w:pPr>
              <w:widowControl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电池柜</w:t>
            </w:r>
          </w:p>
        </w:tc>
        <w:tc>
          <w:tcPr>
            <w:tcW w:w="1814" w:type="dxa"/>
            <w:vMerge/>
            <w:shd w:val="clear" w:color="auto" w:fill="auto"/>
          </w:tcPr>
          <w:p w:rsidR="008B6300" w:rsidRDefault="008B6300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8B6300" w:rsidRDefault="008B6300">
            <w:pPr>
              <w:widowControl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</w:tbl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8B6300">
      <w:pPr>
        <w:spacing w:line="500" w:lineRule="exact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</w:p>
    <w:p w:rsidR="008B6300" w:rsidRDefault="008B6300">
      <w:pPr>
        <w:spacing w:line="500" w:lineRule="exact"/>
        <w:rPr>
          <w:rFonts w:cs="仿宋"/>
          <w:sz w:val="44"/>
          <w:szCs w:val="44"/>
          <w:lang w:eastAsia="zh-CN"/>
        </w:rPr>
      </w:pPr>
    </w:p>
    <w:sectPr w:rsidR="008B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6133"/>
    <w:multiLevelType w:val="multilevel"/>
    <w:tmpl w:val="656D6133"/>
    <w:lvl w:ilvl="0">
      <w:start w:val="1"/>
      <w:numFmt w:val="chineseCountingThousand"/>
      <w:pStyle w:val="1"/>
      <w:suff w:val="nothing"/>
      <w:lvlText w:val="第%1部分"/>
      <w:lvlJc w:val="center"/>
      <w:pPr>
        <w:ind w:left="252"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1263" w:firstLine="177"/>
      </w:pPr>
      <w:rPr>
        <w:rFonts w:ascii="仿宋_GB2312" w:eastAsia="仿宋_GB2312" w:hAnsi="宋体" w:cs="Times New Roman" w:hint="eastAsia"/>
        <w:sz w:val="32"/>
        <w:szCs w:val="32"/>
      </w:rPr>
    </w:lvl>
    <w:lvl w:ilvl="2">
      <w:start w:val="1"/>
      <w:numFmt w:val="chineseCountingThousand"/>
      <w:suff w:val="nothing"/>
      <w:lvlText w:val="(%3)"/>
      <w:lvlJc w:val="left"/>
      <w:pPr>
        <w:ind w:left="252"/>
      </w:pPr>
      <w:rPr>
        <w:rFonts w:ascii="Times New Roman" w:eastAsia="宋体" w:hAnsi="Times New Roman" w:cs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252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52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2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52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52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252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NzM2ZmM0M2I3ODgyYTU0NjJkNzhkYzU3NGYyZmEifQ=="/>
  </w:docVars>
  <w:rsids>
    <w:rsidRoot w:val="00E84E05"/>
    <w:rsid w:val="000033DA"/>
    <w:rsid w:val="00014B83"/>
    <w:rsid w:val="0002138E"/>
    <w:rsid w:val="00031B28"/>
    <w:rsid w:val="00037456"/>
    <w:rsid w:val="000519EC"/>
    <w:rsid w:val="0005265D"/>
    <w:rsid w:val="00054E5B"/>
    <w:rsid w:val="00055B12"/>
    <w:rsid w:val="0006418B"/>
    <w:rsid w:val="00073E51"/>
    <w:rsid w:val="00075510"/>
    <w:rsid w:val="000804D9"/>
    <w:rsid w:val="00085825"/>
    <w:rsid w:val="000867AE"/>
    <w:rsid w:val="000A0D63"/>
    <w:rsid w:val="000A10B7"/>
    <w:rsid w:val="000A57B7"/>
    <w:rsid w:val="000B0A02"/>
    <w:rsid w:val="000B203F"/>
    <w:rsid w:val="000D2C2A"/>
    <w:rsid w:val="000D66E5"/>
    <w:rsid w:val="000F31D9"/>
    <w:rsid w:val="001016C2"/>
    <w:rsid w:val="001031B5"/>
    <w:rsid w:val="00125C92"/>
    <w:rsid w:val="00173F62"/>
    <w:rsid w:val="001766B7"/>
    <w:rsid w:val="0018243A"/>
    <w:rsid w:val="001B42B4"/>
    <w:rsid w:val="001C6357"/>
    <w:rsid w:val="001C725F"/>
    <w:rsid w:val="001D1AA2"/>
    <w:rsid w:val="001D7306"/>
    <w:rsid w:val="001E2E82"/>
    <w:rsid w:val="001F3343"/>
    <w:rsid w:val="002105A1"/>
    <w:rsid w:val="00255033"/>
    <w:rsid w:val="00257269"/>
    <w:rsid w:val="00277163"/>
    <w:rsid w:val="002824D1"/>
    <w:rsid w:val="002A39CF"/>
    <w:rsid w:val="002C7800"/>
    <w:rsid w:val="002D14F3"/>
    <w:rsid w:val="0031012D"/>
    <w:rsid w:val="003149F3"/>
    <w:rsid w:val="00323E9C"/>
    <w:rsid w:val="003240A3"/>
    <w:rsid w:val="003474A5"/>
    <w:rsid w:val="00355AA4"/>
    <w:rsid w:val="003769C1"/>
    <w:rsid w:val="00396227"/>
    <w:rsid w:val="003C1757"/>
    <w:rsid w:val="0040346F"/>
    <w:rsid w:val="004053C5"/>
    <w:rsid w:val="00411E28"/>
    <w:rsid w:val="00416EA4"/>
    <w:rsid w:val="0042295E"/>
    <w:rsid w:val="00445408"/>
    <w:rsid w:val="00447841"/>
    <w:rsid w:val="00462F8A"/>
    <w:rsid w:val="00464A2C"/>
    <w:rsid w:val="00476834"/>
    <w:rsid w:val="004A48E0"/>
    <w:rsid w:val="004B5FC7"/>
    <w:rsid w:val="004C5191"/>
    <w:rsid w:val="004D6776"/>
    <w:rsid w:val="004E5227"/>
    <w:rsid w:val="00506205"/>
    <w:rsid w:val="005065BF"/>
    <w:rsid w:val="005073CE"/>
    <w:rsid w:val="0051287E"/>
    <w:rsid w:val="00517F93"/>
    <w:rsid w:val="00541C8C"/>
    <w:rsid w:val="005734D0"/>
    <w:rsid w:val="005A1E77"/>
    <w:rsid w:val="005A366B"/>
    <w:rsid w:val="005C4433"/>
    <w:rsid w:val="005C4A44"/>
    <w:rsid w:val="005D22E9"/>
    <w:rsid w:val="005F362F"/>
    <w:rsid w:val="00603381"/>
    <w:rsid w:val="00606E71"/>
    <w:rsid w:val="00636366"/>
    <w:rsid w:val="006433AB"/>
    <w:rsid w:val="00643CE6"/>
    <w:rsid w:val="00644D7D"/>
    <w:rsid w:val="00651413"/>
    <w:rsid w:val="00653AAF"/>
    <w:rsid w:val="00673A97"/>
    <w:rsid w:val="00675872"/>
    <w:rsid w:val="00682366"/>
    <w:rsid w:val="00690FC4"/>
    <w:rsid w:val="006A58F9"/>
    <w:rsid w:val="006B66F8"/>
    <w:rsid w:val="006F78AF"/>
    <w:rsid w:val="007048AD"/>
    <w:rsid w:val="00716F6E"/>
    <w:rsid w:val="00724170"/>
    <w:rsid w:val="00724B28"/>
    <w:rsid w:val="00727AA3"/>
    <w:rsid w:val="007307EA"/>
    <w:rsid w:val="007456D2"/>
    <w:rsid w:val="00761E1F"/>
    <w:rsid w:val="00761E9C"/>
    <w:rsid w:val="00764857"/>
    <w:rsid w:val="00765041"/>
    <w:rsid w:val="007A2D60"/>
    <w:rsid w:val="007A31A5"/>
    <w:rsid w:val="007A7756"/>
    <w:rsid w:val="007C343A"/>
    <w:rsid w:val="007C3F5B"/>
    <w:rsid w:val="007D0AE4"/>
    <w:rsid w:val="007D40D0"/>
    <w:rsid w:val="007E3D2C"/>
    <w:rsid w:val="007E740D"/>
    <w:rsid w:val="00810102"/>
    <w:rsid w:val="00824F78"/>
    <w:rsid w:val="0084669C"/>
    <w:rsid w:val="00847C73"/>
    <w:rsid w:val="008B6300"/>
    <w:rsid w:val="008B7FF2"/>
    <w:rsid w:val="008D134C"/>
    <w:rsid w:val="008D4975"/>
    <w:rsid w:val="008E371D"/>
    <w:rsid w:val="008F4F1E"/>
    <w:rsid w:val="008F7E5A"/>
    <w:rsid w:val="00915593"/>
    <w:rsid w:val="00916B58"/>
    <w:rsid w:val="009269EB"/>
    <w:rsid w:val="0094424C"/>
    <w:rsid w:val="00951667"/>
    <w:rsid w:val="00952E50"/>
    <w:rsid w:val="009762FA"/>
    <w:rsid w:val="00994AAE"/>
    <w:rsid w:val="009A0D65"/>
    <w:rsid w:val="009C6D85"/>
    <w:rsid w:val="009C7A02"/>
    <w:rsid w:val="009D5174"/>
    <w:rsid w:val="009E2802"/>
    <w:rsid w:val="009E5B82"/>
    <w:rsid w:val="009F1E80"/>
    <w:rsid w:val="009F47B2"/>
    <w:rsid w:val="00A12F74"/>
    <w:rsid w:val="00A16FEF"/>
    <w:rsid w:val="00A40581"/>
    <w:rsid w:val="00A57044"/>
    <w:rsid w:val="00A763F1"/>
    <w:rsid w:val="00AB40F1"/>
    <w:rsid w:val="00AC2657"/>
    <w:rsid w:val="00AC3A4C"/>
    <w:rsid w:val="00AD556E"/>
    <w:rsid w:val="00AE420F"/>
    <w:rsid w:val="00AF4A68"/>
    <w:rsid w:val="00AF6BE8"/>
    <w:rsid w:val="00B00AD6"/>
    <w:rsid w:val="00B00C73"/>
    <w:rsid w:val="00B20A12"/>
    <w:rsid w:val="00B3008D"/>
    <w:rsid w:val="00B3527A"/>
    <w:rsid w:val="00B37E05"/>
    <w:rsid w:val="00B739AB"/>
    <w:rsid w:val="00B73D87"/>
    <w:rsid w:val="00B7656C"/>
    <w:rsid w:val="00B84882"/>
    <w:rsid w:val="00B97308"/>
    <w:rsid w:val="00BA2936"/>
    <w:rsid w:val="00C06FDA"/>
    <w:rsid w:val="00C21971"/>
    <w:rsid w:val="00C36720"/>
    <w:rsid w:val="00C46966"/>
    <w:rsid w:val="00C52215"/>
    <w:rsid w:val="00C65736"/>
    <w:rsid w:val="00C7130A"/>
    <w:rsid w:val="00C76397"/>
    <w:rsid w:val="00C763E2"/>
    <w:rsid w:val="00C867FD"/>
    <w:rsid w:val="00C911F9"/>
    <w:rsid w:val="00C936A0"/>
    <w:rsid w:val="00CC002E"/>
    <w:rsid w:val="00CC6408"/>
    <w:rsid w:val="00CD05A3"/>
    <w:rsid w:val="00CD5B06"/>
    <w:rsid w:val="00CE2312"/>
    <w:rsid w:val="00CE2DD8"/>
    <w:rsid w:val="00CF28A1"/>
    <w:rsid w:val="00D00ABF"/>
    <w:rsid w:val="00D21E8C"/>
    <w:rsid w:val="00D2529C"/>
    <w:rsid w:val="00D426B4"/>
    <w:rsid w:val="00D44767"/>
    <w:rsid w:val="00D61DA2"/>
    <w:rsid w:val="00D61E07"/>
    <w:rsid w:val="00D74A70"/>
    <w:rsid w:val="00D75AE9"/>
    <w:rsid w:val="00D900CE"/>
    <w:rsid w:val="00D91C3F"/>
    <w:rsid w:val="00D9425B"/>
    <w:rsid w:val="00DB4579"/>
    <w:rsid w:val="00DD2424"/>
    <w:rsid w:val="00DE1D33"/>
    <w:rsid w:val="00DF5220"/>
    <w:rsid w:val="00E02749"/>
    <w:rsid w:val="00E077EE"/>
    <w:rsid w:val="00E07DC8"/>
    <w:rsid w:val="00E10F36"/>
    <w:rsid w:val="00E13AA7"/>
    <w:rsid w:val="00E15584"/>
    <w:rsid w:val="00E45C0D"/>
    <w:rsid w:val="00E56B40"/>
    <w:rsid w:val="00E630DC"/>
    <w:rsid w:val="00E844BA"/>
    <w:rsid w:val="00E84E05"/>
    <w:rsid w:val="00EA173C"/>
    <w:rsid w:val="00EB3885"/>
    <w:rsid w:val="00EB7EE6"/>
    <w:rsid w:val="00EF56E9"/>
    <w:rsid w:val="00EF7604"/>
    <w:rsid w:val="00F23CFC"/>
    <w:rsid w:val="00F3776B"/>
    <w:rsid w:val="00F42F51"/>
    <w:rsid w:val="00F479A1"/>
    <w:rsid w:val="00F57F58"/>
    <w:rsid w:val="00F631E0"/>
    <w:rsid w:val="00F646EB"/>
    <w:rsid w:val="00F651CC"/>
    <w:rsid w:val="00F92880"/>
    <w:rsid w:val="00FA0011"/>
    <w:rsid w:val="00FB402B"/>
    <w:rsid w:val="00FD5E11"/>
    <w:rsid w:val="01015471"/>
    <w:rsid w:val="34A4467C"/>
    <w:rsid w:val="39267C12"/>
    <w:rsid w:val="3CD77CE5"/>
    <w:rsid w:val="3FC25285"/>
    <w:rsid w:val="41052EC8"/>
    <w:rsid w:val="42DB58C6"/>
    <w:rsid w:val="44A96440"/>
    <w:rsid w:val="47CB109F"/>
    <w:rsid w:val="4C021029"/>
    <w:rsid w:val="4CA11E4F"/>
    <w:rsid w:val="5C38787E"/>
    <w:rsid w:val="78550C3F"/>
    <w:rsid w:val="789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 fillcolor="white">
      <v:fill color="white"/>
    </o:shapedefaults>
    <o:shapelayout v:ext="edit">
      <o:idmap v:ext="edit" data="1"/>
      <o:rules v:ext="edit">
        <o:r id="V:Rule1" type="connector" idref="#直接箭头连接符 28"/>
        <o:r id="V:Rule2" type="connector" idref="#直接箭头连接符 304"/>
        <o:r id="V:Rule3" type="connector" idref="#直接箭头连接符 307"/>
        <o:r id="V:Rule4" type="connector" idref="#_x0000_s1049"/>
        <o:r id="V:Rule5" type="connector" idref="#_x0000_s1045"/>
        <o:r id="V:Rule6" type="connector" idref="#_x0000_s1039"/>
        <o:r id="V:Rule7" type="connector" idref="#_x0000_s1044"/>
        <o:r id="V:Rule8" type="connector" idref="#_x0000_s1055"/>
        <o:r id="V:Rule9" type="connector" idref="#_x0000_s1057"/>
      </o:rules>
    </o:shapelayout>
  </w:shapeDefaults>
  <w:decimalSymbol w:val="."/>
  <w:listSeparator w:val=","/>
  <w14:docId w14:val="2EC14424"/>
  <w15:docId w15:val="{031E4D01-2783-4837-8838-ED8A8FE9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sz w:val="21"/>
      <w:szCs w:val="21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b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customStyle="1" w:styleId="a4">
    <w:name w:val="正文文本 字符"/>
    <w:link w:val="a3"/>
    <w:uiPriority w:val="99"/>
    <w:qFormat/>
    <w:locked/>
    <w:rPr>
      <w:rFonts w:ascii="宋体" w:eastAsia="宋体" w:hAnsi="宋体" w:cs="宋体"/>
      <w:kern w:val="0"/>
      <w:sz w:val="21"/>
      <w:szCs w:val="21"/>
      <w:lang w:eastAsia="en-US"/>
    </w:rPr>
  </w:style>
  <w:style w:type="character" w:customStyle="1" w:styleId="a6">
    <w:name w:val="页脚 字符"/>
    <w:link w:val="a5"/>
    <w:uiPriority w:val="99"/>
    <w:semiHidden/>
    <w:qFormat/>
    <w:locked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8">
    <w:name w:val="页眉 字符"/>
    <w:link w:val="a7"/>
    <w:uiPriority w:val="99"/>
    <w:semiHidden/>
    <w:qFormat/>
    <w:locked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a">
    <w:name w:val="标题 字符"/>
    <w:link w:val="a9"/>
    <w:uiPriority w:val="99"/>
    <w:qFormat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99"/>
    <w:qFormat/>
    <w:pPr>
      <w:spacing w:line="590" w:lineRule="exact"/>
      <w:ind w:left="3"/>
      <w:outlineLvl w:val="1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spacing w:before="240" w:after="240" w:line="240" w:lineRule="auto"/>
      <w:jc w:val="center"/>
    </w:pPr>
    <w:rPr>
      <w:sz w:val="28"/>
      <w:szCs w:val="20"/>
    </w:rPr>
  </w:style>
  <w:style w:type="paragraph" w:customStyle="1" w:styleId="ac">
    <w:name w:val="表格文字"/>
    <w:basedOn w:val="a"/>
    <w:next w:val="a3"/>
    <w:qFormat/>
    <w:pPr>
      <w:adjustRightInd w:val="0"/>
      <w:spacing w:line="420" w:lineRule="atLeast"/>
      <w:textAlignment w:val="baseline"/>
    </w:pPr>
    <w:rPr>
      <w:rFonts w:ascii="Times New Roman" w:hAnsi="Times New Roman" w:cs="Times New Roman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7"/>
    <customShpInfo spid="_x0000_s1054"/>
    <customShpInfo spid="_x0000_s1055"/>
    <customShpInfo spid="_x0000_s1030"/>
    <customShpInfo spid="_x0000_s1034"/>
    <customShpInfo spid="_x0000_s1026"/>
    <customShpInfo spid="_x0000_s1050"/>
    <customShpInfo spid="_x0000_s1035"/>
    <customShpInfo spid="_x0000_s1053"/>
    <customShpInfo spid="_x0000_s1036"/>
    <customShpInfo spid="_x0000_s1051"/>
    <customShpInfo spid="_x0000_s1048"/>
    <customShpInfo spid="_x0000_s1049"/>
    <customShpInfo spid="_x0000_s1041"/>
    <customShpInfo spid="_x0000_s1027"/>
    <customShpInfo spid="_x0000_s1040"/>
    <customShpInfo spid="_x0000_s1052"/>
    <customShpInfo spid="_x0000_s1039"/>
    <customShpInfo spid="_x0000_s1031"/>
    <customShpInfo spid="_x0000_s1038"/>
    <customShpInfo spid="_x0000_s1042"/>
    <customShpInfo spid="_x0000_s1032"/>
    <customShpInfo spid="_x0000_s1044"/>
    <customShpInfo spid="_x0000_s1056"/>
    <customShpInfo spid="_x0000_s1047"/>
    <customShpInfo spid="_x0000_s1043"/>
    <customShpInfo spid="_x0000_s1046"/>
    <customShpInfo spid="_x0000_s1057"/>
    <customShpInfo spid="_x0000_s1045"/>
    <customShpInfo spid="_x0000_s1033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7</Pages>
  <Words>471</Words>
  <Characters>2690</Characters>
  <Application>Microsoft Office Word</Application>
  <DocSecurity>0</DocSecurity>
  <Lines>22</Lines>
  <Paragraphs>6</Paragraphs>
  <ScaleCrop>false</ScaleCrop>
  <Company>微软中国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494</cp:revision>
  <cp:lastPrinted>2022-09-14T02:25:00Z</cp:lastPrinted>
  <dcterms:created xsi:type="dcterms:W3CDTF">2019-09-18T02:49:00Z</dcterms:created>
  <dcterms:modified xsi:type="dcterms:W3CDTF">2023-11-16T01:25:00Z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F2FCA81D4CF745489B057C682FFF6325</vt:lpwstr>
  </property>
</Properties>
</file>